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120"/>
        <w:jc w:val="center"/>
      </w:pPr>
      <w:r>
        <w:rPr>
          <w:rFonts w:ascii="Arial" w:hAnsi="Arial"/>
          <w:b/>
          <w:color w:val="0F766E"/>
          <w:sz w:val="52"/>
        </w:rPr>
        <w:t>STRATEGIC PROJECT PROPOSAL</w:t>
      </w:r>
    </w:p>
    <w:p>
      <w:pPr>
        <w:spacing w:after="720"/>
        <w:jc w:val="center"/>
      </w:pPr>
      <w:r>
        <w:rPr>
          <w:rFonts w:ascii="Arial" w:hAnsi="Arial"/>
          <w:i/>
          <w:color w:val="475569"/>
          <w:sz w:val="28"/>
        </w:rPr>
        <w:t>CuraLink EMR: Family-Centered Healthcare &amp; Field Medicine Platform</w:t>
      </w:r>
    </w:p>
    <w:p>
      <w:pPr>
        <w:keepNext/>
        <w:spacing w:before="360" w:after="120"/>
      </w:pPr>
      <w:r>
        <w:rPr>
          <w:rFonts w:ascii="Arial" w:hAnsi="Arial"/>
          <w:b/>
          <w:color w:val="0F766E"/>
          <w:sz w:val="36"/>
        </w:rPr>
        <w:t>1. Executive Summary</w:t>
      </w:r>
    </w:p>
    <w:p>
      <w:pPr>
        <w:spacing w:after="160" w:line="276" w:lineRule="auto"/>
      </w:pPr>
      <w:r>
        <w:t>CuraLink EMR is an innovative, enterprise-grade healthcare platform designed to connect community-based field medicine with centralized hospital administration. The system is designed to facilitate proactive, preventative, and family-centered healthcare delivery. By leveraging a multi-channel architecture, CuraLink resolves the critical disconnect between urban clinics and remote, rural patient care.</w:t>
      </w:r>
    </w:p>
    <w:p>
      <w:pPr>
        <w:spacing w:after="160" w:line="276" w:lineRule="auto"/>
      </w:pPr>
      <w:r>
        <w:t>At its core, CuraLink integrates three high-impact sub-systems:</w:t>
      </w:r>
    </w:p>
    <w:p>
      <w:pPr>
        <w:pStyle w:val="ListBullet"/>
        <w:spacing w:after="80"/>
      </w:pPr>
      <w:r>
        <w:rPr>
          <w:b/>
          <w:color w:val="0F766E"/>
        </w:rPr>
        <w:t>Offline-First Mobile App:</w:t>
      </w:r>
      <w:r>
        <w:t xml:space="preserve"> – Designed for doctors, nurses, and field health workers to log clinical history, manage families, and run home care operations entirely offline.</w:t>
      </w:r>
    </w:p>
    <w:p>
      <w:pPr>
        <w:pStyle w:val="ListBullet"/>
        <w:spacing w:after="80"/>
      </w:pPr>
      <w:r>
        <w:rPr>
          <w:b/>
          <w:color w:val="0F766E"/>
        </w:rPr>
        <w:t>Centralized Cloud Hub:</w:t>
      </w:r>
      <w:r>
        <w:t xml:space="preserve"> – Exposes advanced analytics, administrative controls, and system-wide audit logging to clinical operators, directors, and billing staff.</w:t>
      </w:r>
    </w:p>
    <w:p>
      <w:pPr>
        <w:pStyle w:val="ListBullet"/>
        <w:spacing w:after="80"/>
      </w:pPr>
      <w:r>
        <w:rPr>
          <w:b/>
          <w:color w:val="0F766E"/>
        </w:rPr>
        <w:t>Self-Service Family Portal:</w:t>
      </w:r>
      <w:r>
        <w:t xml:space="preserve"> – Allows households to request visits, message their primary doctor, check billing status, and pay subscriptions via mobile money channels.</w:t>
      </w:r>
    </w:p>
    <w:p>
      <w:pPr>
        <w:spacing w:before="240" w:after="80"/>
        <w:jc w:val="center"/>
      </w:pPr>
      <w:r>
        <w:drawing>
          <wp:inline xmlns:a="http://schemas.openxmlformats.org/drawingml/2006/main" xmlns:pic="http://schemas.openxmlformats.org/drawingml/2006/picture">
            <wp:extent cx="5303520" cy="26103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min_dashboard_1786528408568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6103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color w:val="475569"/>
          <w:sz w:val="19"/>
        </w:rPr>
        <w:t>Figure 1: Administrator Dashboard - Operational overview of registered families, doctors, clinics, and geographic coverage.</w:t>
      </w:r>
    </w:p>
    <w:p>
      <w:pPr>
        <w:keepNext/>
        <w:spacing w:before="360" w:after="120"/>
      </w:pPr>
      <w:r>
        <w:rPr>
          <w:rFonts w:ascii="Arial" w:hAnsi="Arial"/>
          <w:b/>
          <w:color w:val="0F766E"/>
          <w:sz w:val="36"/>
        </w:rPr>
        <w:t>2. Strategic Value Proposition for Investors &amp; Partners</w:t>
      </w:r>
    </w:p>
    <w:p>
      <w:pPr>
        <w:spacing w:after="160" w:line="276" w:lineRule="auto"/>
      </w:pPr>
      <w:r>
        <w:t>For corporate partners, healthcare networks, and impact investors, CuraLink presents a unique, sustainable, and highly scalable investment opportunity:</w:t>
      </w:r>
    </w:p>
    <w:p>
      <w:pPr>
        <w:pStyle w:val="ListBullet"/>
        <w:spacing w:after="80"/>
      </w:pPr>
      <w:r>
        <w:rPr>
          <w:b/>
          <w:color w:val="0F766E"/>
        </w:rPr>
        <w:t>Actionable Health Intelligence:</w:t>
      </w:r>
      <w:r>
        <w:t xml:space="preserve"> By focusing on families as a single unit and tracking social determinants (housing, sanitation, water), CuraLink enables healthcare networks to perform preventative interventions before chronic diseases escalate, reducing total hospital load.</w:t>
      </w:r>
    </w:p>
    <w:p>
      <w:pPr>
        <w:pStyle w:val="ListBullet"/>
        <w:spacing w:after="80"/>
      </w:pPr>
      <w:r>
        <w:rPr>
          <w:b/>
          <w:color w:val="0F766E"/>
        </w:rPr>
        <w:t>Infinite Scalability by Design:</w:t>
      </w:r>
      <w:r>
        <w:t xml:space="preserve"> Built on a standardized, hierarchical geographic mapping system, CuraLink can be rapidly adapted and deployed to any district, region, or country.</w:t>
      </w:r>
    </w:p>
    <w:p>
      <w:pPr>
        <w:pStyle w:val="ListBullet"/>
        <w:spacing w:after="80"/>
      </w:pPr>
      <w:r>
        <w:rPr>
          <w:b/>
          <w:color w:val="0F766E"/>
        </w:rPr>
        <w:t>Sustainable Financial Revenue:</w:t>
      </w:r>
      <w:r>
        <w:t xml:space="preserve"> Integrated subscription engines and direct mobile money channels (MTN, Airtel, Zamtel) enable healthcare networks to maintain a self-sustaining funding loop, ensuring long-term operational viability without perpetual donor dependency.</w:t>
      </w:r>
    </w:p>
    <w:p>
      <w:pPr>
        <w:pStyle w:val="ListBullet"/>
        <w:spacing w:after="80"/>
      </w:pPr>
      <w:r>
        <w:rPr>
          <w:b/>
          <w:color w:val="0F766E"/>
        </w:rPr>
        <w:t>Enterprise Compliance and Governance:</w:t>
      </w:r>
      <w:r>
        <w:t xml:space="preserve"> Features built-in, automated auditing of all clinical edits and user sessions to meet strict national healthcare compliance and data-integrity regulations.</w:t>
      </w:r>
    </w:p>
    <w:p>
      <w:pPr>
        <w:spacing w:before="240" w:after="80"/>
        <w:jc w:val="center"/>
      </w:pPr>
      <w:r>
        <w:drawing>
          <wp:inline xmlns:a="http://schemas.openxmlformats.org/drawingml/2006/main" xmlns:pic="http://schemas.openxmlformats.org/drawingml/2006/picture">
            <wp:extent cx="5303520" cy="261032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min_users_178652842386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6103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color w:val="475569"/>
          <w:sz w:val="19"/>
        </w:rPr>
        <w:t>Figure 2: User Role Allocation - Shows how the system maps credentials and access control for administrators, medical directors, doctors, and staff.</w:t>
      </w:r>
    </w:p>
    <w:p>
      <w:pPr>
        <w:keepNext/>
        <w:spacing w:before="360" w:after="120"/>
      </w:pPr>
      <w:r>
        <w:rPr>
          <w:rFonts w:ascii="Arial" w:hAnsi="Arial"/>
          <w:b/>
          <w:color w:val="0F766E"/>
          <w:sz w:val="36"/>
        </w:rPr>
        <w:t>3. Core Innovation: Dynamic Family Health Risk Scoring</w:t>
      </w:r>
    </w:p>
    <w:p>
      <w:pPr>
        <w:spacing w:after="160" w:line="276" w:lineRule="auto"/>
      </w:pPr>
      <w:r>
        <w:t>A key breakthrough of the CuraLink platform is its dynamic, automated Family Health Risk Scoring engine. Rather than assessing patient files in isolation, the system evaluates the entire household. Whenever a patient file or household environment metric is updated, the server instantly recalculates the Family Health Score (0 to 100) and updates the household's risk classification.</w:t>
      </w:r>
    </w:p>
    <w:p>
      <w:pPr>
        <w:spacing w:after="160" w:line="276" w:lineRule="auto"/>
      </w:pPr>
      <w:r>
        <w:t>The scoring criteria includes:</w:t>
      </w:r>
    </w:p>
    <w:p>
      <w:pPr>
        <w:pStyle w:val="ListBullet"/>
        <w:spacing w:after="80"/>
      </w:pPr>
      <w:r>
        <w:rPr>
          <w:b/>
          <w:color w:val="0F766E"/>
        </w:rPr>
        <w:t>Disease Burden (Max 30 pts):</w:t>
      </w:r>
      <w:r>
        <w:t xml:space="preserve"> Adds 10 points for each member with a chronic condition and 20 points for each member with a disability.</w:t>
      </w:r>
    </w:p>
    <w:p>
      <w:pPr>
        <w:pStyle w:val="ListBullet"/>
        <w:spacing w:after="80"/>
      </w:pPr>
      <w:r>
        <w:rPr>
          <w:b/>
          <w:color w:val="0F766E"/>
        </w:rPr>
        <w:t>Vulnerable Ages (Max 20 pts):</w:t>
      </w:r>
      <w:r>
        <w:t xml:space="preserve"> Adds 10 points for children under 5 and 10 points for elderly members over 60.</w:t>
      </w:r>
    </w:p>
    <w:p>
      <w:pPr>
        <w:pStyle w:val="ListBullet"/>
        <w:spacing w:after="80"/>
      </w:pPr>
      <w:r>
        <w:rPr>
          <w:b/>
          <w:color w:val="0F766E"/>
        </w:rPr>
        <w:t>Social Determinants (Max 20 pts):</w:t>
      </w:r>
      <w:r>
        <w:t xml:space="preserve"> Adds 5 points for each adverse indicator: mud-walled housing, unprotected water sources, pit latrines, lack of electricity, or informal land tenure.</w:t>
      </w:r>
    </w:p>
    <w:p>
      <w:pPr>
        <w:pStyle w:val="ListBullet"/>
        <w:spacing w:after="80"/>
      </w:pPr>
      <w:r>
        <w:rPr>
          <w:b/>
          <w:color w:val="0F766E"/>
        </w:rPr>
        <w:t>Lifestyle Risks (Max 15 pts):</w:t>
      </w:r>
      <w:r>
        <w:t xml:space="preserve"> Adds up to 15 points for smoking, alcohol use, or sedentary lifestyles inside the household.</w:t>
      </w:r>
    </w:p>
    <w:p>
      <w:pPr>
        <w:pStyle w:val="ListBullet"/>
        <w:spacing w:after="80"/>
      </w:pPr>
      <w:r>
        <w:rPr>
          <w:b/>
          <w:color w:val="0F766E"/>
        </w:rPr>
        <w:t>Mental &amp; Social Risks (Max 15 pts):</w:t>
      </w:r>
      <w:r>
        <w:t xml:space="preserve"> Evaluates domestic risks, social isolation, and financial stress.</w:t>
      </w:r>
    </w:p>
    <w:p>
      <w:pPr>
        <w:keepNext/>
        <w:spacing w:before="280" w:after="80"/>
      </w:pPr>
      <w:r>
        <w:rPr>
          <w:rFonts w:ascii="Arial" w:hAnsi="Arial"/>
          <w:b/>
          <w:color w:val="115E59"/>
          <w:sz w:val="28"/>
        </w:rPr>
        <w:t>Operational Care Priority Path</w:t>
      </w:r>
    </w:p>
    <w:p>
      <w:pPr>
        <w:spacing w:after="160" w:line="276" w:lineRule="auto"/>
      </w:pPr>
      <w:r>
        <w:t>These risk classifications dictate the dispatch schedule for doctors and field health teams, optimizing medical resource allocation:</w:t>
      </w:r>
    </w:p>
    <w:p>
      <w:pPr>
        <w:pStyle w:val="ListBullet"/>
        <w:spacing w:after="80"/>
      </w:pPr>
      <w:r>
        <w:rPr>
          <w:b/>
          <w:color w:val="0F766E"/>
        </w:rPr>
        <w:t>Green (Low Risk: 0-25):</w:t>
      </w:r>
      <w:r>
        <w:t xml:space="preserve"> Routine annual health screening and wellness check-ups.</w:t>
      </w:r>
    </w:p>
    <w:p>
      <w:pPr>
        <w:pStyle w:val="ListBullet"/>
        <w:spacing w:after="80"/>
      </w:pPr>
      <w:r>
        <w:rPr>
          <w:b/>
          <w:color w:val="0F766E"/>
        </w:rPr>
        <w:t>Yellow (Moderate Risk: 26-50):</w:t>
      </w:r>
      <w:r>
        <w:t xml:space="preserve"> Bi-annual check-ups and targeted health education.</w:t>
      </w:r>
    </w:p>
    <w:p>
      <w:pPr>
        <w:pStyle w:val="ListBullet"/>
        <w:spacing w:after="80"/>
      </w:pPr>
      <w:r>
        <w:rPr>
          <w:b/>
          <w:color w:val="0F766E"/>
        </w:rPr>
        <w:t>Orange (High Risk: 51-75):</w:t>
      </w:r>
      <w:r>
        <w:t xml:space="preserve"> Quarterly visits and coordinated care management.</w:t>
      </w:r>
    </w:p>
    <w:p>
      <w:pPr>
        <w:pStyle w:val="ListBullet"/>
        <w:spacing w:after="80"/>
      </w:pPr>
      <w:r>
        <w:rPr>
          <w:b/>
          <w:color w:val="0F766E"/>
        </w:rPr>
        <w:t>Red (Very High Risk: 76-100):</w:t>
      </w:r>
      <w:r>
        <w:t xml:space="preserve"> Priority monthly home clinical intervention and active follow-up.</w:t>
      </w:r>
    </w:p>
    <w:p>
      <w:pPr>
        <w:spacing w:before="240" w:after="80"/>
        <w:jc w:val="center"/>
      </w:pPr>
      <w:r>
        <w:drawing>
          <wp:inline xmlns:a="http://schemas.openxmlformats.org/drawingml/2006/main" xmlns:pic="http://schemas.openxmlformats.org/drawingml/2006/picture">
            <wp:extent cx="5303520" cy="490023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mily_profile_1786528565317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9002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color w:val="475569"/>
          <w:sz w:val="19"/>
        </w:rPr>
        <w:t>Figure 3: Household Detail &amp; Health Risk Score - Tracks environment, water source, and automatically rates the Tembo family as Moderate Risk (Score: 50).</w:t>
      </w:r>
    </w:p>
    <w:p>
      <w:pPr>
        <w:keepNext/>
        <w:spacing w:before="360" w:after="120"/>
      </w:pPr>
      <w:r>
        <w:rPr>
          <w:rFonts w:ascii="Arial" w:hAnsi="Arial"/>
          <w:b/>
          <w:color w:val="0F766E"/>
          <w:sz w:val="36"/>
        </w:rPr>
        <w:t>4. Technical Infrastructure &amp; Data Integrity</w:t>
      </w:r>
    </w:p>
    <w:p>
      <w:pPr>
        <w:spacing w:after="160" w:line="276" w:lineRule="auto"/>
      </w:pPr>
      <w:r>
        <w:t>Investors can be confident in the platform's robust, enterprise-grade architecture. CuraLink is built using cutting-edge, secure frameworks:</w:t>
      </w:r>
    </w:p>
    <w:p>
      <w:pPr>
        <w:pStyle w:val="ListBullet"/>
        <w:spacing w:after="80"/>
      </w:pPr>
      <w:r>
        <w:rPr>
          <w:b/>
          <w:color w:val="0F766E"/>
        </w:rPr>
        <w:t>Cloud Backend:</w:t>
      </w:r>
      <w:r>
        <w:t xml:space="preserve"> Powered by Laravel 13 utilizing PHP 8.4, with SQLite/MySQL databases and Laravel Sanctum for secure token-based mobile app authentication.</w:t>
      </w:r>
    </w:p>
    <w:p>
      <w:pPr>
        <w:pStyle w:val="ListBullet"/>
        <w:spacing w:after="80"/>
      </w:pPr>
      <w:r>
        <w:rPr>
          <w:b/>
          <w:color w:val="0F766E"/>
        </w:rPr>
        <w:t>Mobile App:</w:t>
      </w:r>
      <w:r>
        <w:t xml:space="preserve"> Developed in Flutter (Dart) using Drift reactive database driver, creating a fully functional offline local database.</w:t>
      </w:r>
    </w:p>
    <w:p>
      <w:pPr>
        <w:pStyle w:val="ListBullet"/>
        <w:spacing w:after="80"/>
      </w:pPr>
      <w:r>
        <w:rPr>
          <w:b/>
          <w:color w:val="0F766E"/>
        </w:rPr>
        <w:t>Offline Sync Protocol:</w:t>
      </w:r>
      <w:r>
        <w:t xml:space="preserve"> To prevent primary key collisions when inserting records offline, the system uses globally unique UUIDv4 keys generated locally. Changes are tracked via 'isDirty' and 'isDeleted' flags, and resolved bidirectionally upon syncing.</w:t>
      </w:r>
    </w:p>
    <w:p>
      <w:pPr>
        <w:pStyle w:val="ListBullet"/>
        <w:spacing w:after="80"/>
      </w:pPr>
      <w:r>
        <w:rPr>
          <w:b/>
          <w:color w:val="0F766E"/>
        </w:rPr>
        <w:t>Compliance &amp; Audit Trail:</w:t>
      </w:r>
      <w:r>
        <w:t xml:space="preserve"> Utilizes a database-level observer to record all creation, deletion, and update events, capturing the user, timestamp, original data, mutated data, and client User-Agent.</w:t>
      </w:r>
    </w:p>
    <w:p>
      <w:pPr>
        <w:spacing w:before="240" w:after="80"/>
        <w:jc w:val="center"/>
      </w:pPr>
      <w:r>
        <w:drawing>
          <wp:inline xmlns:a="http://schemas.openxmlformats.org/drawingml/2006/main" xmlns:pic="http://schemas.openxmlformats.org/drawingml/2006/picture">
            <wp:extent cx="5303520" cy="443893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tient_profile_1786528529909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4389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color w:val="475569"/>
          <w:sz w:val="19"/>
        </w:rPr>
        <w:t>Figure 4: 16-Section Patient Health Profile - Standardized clinical intake form covering medical, surgical, and lifestyle histories for patients like Mutale Tembo.</w:t>
      </w:r>
    </w:p>
    <w:p>
      <w:pPr>
        <w:keepNext/>
        <w:spacing w:before="360" w:after="120"/>
      </w:pPr>
      <w:r>
        <w:rPr>
          <w:rFonts w:ascii="Arial" w:hAnsi="Arial"/>
          <w:b/>
          <w:color w:val="0F766E"/>
          <w:sz w:val="36"/>
        </w:rPr>
        <w:t>5. Integrated Financial Model &amp; Billing</w:t>
      </w:r>
    </w:p>
    <w:p>
      <w:pPr>
        <w:spacing w:after="160" w:line="276" w:lineRule="auto"/>
      </w:pPr>
      <w:r>
        <w:t>Sustainable funding is critical for corporate partnerships. CuraLink integrates a robust billing module that tracks payments and manages family subscriptions. The dashboard aggregates data from mobile money providers (such as MTN, Airtel, and Zamtel), showing transactions, balances, and subscription periods.</w:t>
      </w:r>
    </w:p>
    <w:p>
      <w:pPr>
        <w:spacing w:after="160" w:line="276" w:lineRule="auto"/>
      </w:pPr>
      <w:r>
        <w:t>Key billing functionalities include:</w:t>
      </w:r>
    </w:p>
    <w:p>
      <w:pPr>
        <w:pStyle w:val="ListBullet"/>
        <w:spacing w:after="80"/>
      </w:pPr>
      <w:r>
        <w:rPr>
          <w:b/>
          <w:color w:val="0F766E"/>
        </w:rPr>
        <w:t>Mobile Money Ledger:</w:t>
      </w:r>
      <w:r>
        <w:t xml:space="preserve"> Allows the billing department to reconcile incoming transaction codes with registered family subscriptions.</w:t>
      </w:r>
    </w:p>
    <w:p>
      <w:pPr>
        <w:pStyle w:val="ListBullet"/>
        <w:spacing w:after="80"/>
      </w:pPr>
      <w:r>
        <w:rPr>
          <w:b/>
          <w:color w:val="0F766E"/>
        </w:rPr>
        <w:t>Subscription Control:</w:t>
      </w:r>
      <w:r>
        <w:t xml:space="preserve"> Tracks subscription start dates, renewal dates, and payment status, automatically flagging lapsed households.</w:t>
      </w:r>
    </w:p>
    <w:p>
      <w:pPr>
        <w:pStyle w:val="ListBullet"/>
        <w:spacing w:after="80"/>
      </w:pPr>
      <w:r>
        <w:rPr>
          <w:b/>
          <w:color w:val="0F766E"/>
        </w:rPr>
        <w:t>Financial Reporting:</w:t>
      </w:r>
      <w:r>
        <w:t xml:space="preserve"> Generates transaction histories and exportable financial sheets for audits and leadership review.</w:t>
      </w:r>
    </w:p>
    <w:p>
      <w:pPr>
        <w:spacing w:before="240" w:after="80"/>
        <w:jc w:val="center"/>
      </w:pPr>
      <w:r>
        <w:drawing>
          <wp:inline xmlns:a="http://schemas.openxmlformats.org/drawingml/2006/main" xmlns:pic="http://schemas.openxmlformats.org/drawingml/2006/picture">
            <wp:extent cx="5303520" cy="261032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ling_payments_dashboard_178652866240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6103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color w:val="475569"/>
          <w:sz w:val="19"/>
        </w:rPr>
        <w:t>Figure 5: Payments &amp; Subscriptions Ledger - Reconciles transactions from mobile money providers (MTN, Airtel, Zamtel) directly to subscription timelines.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415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